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1"/>
        <w:gridCol w:w="3660"/>
        <w:gridCol w:w="425"/>
        <w:gridCol w:w="1540"/>
        <w:gridCol w:w="2455"/>
      </w:tblGrid>
      <w:tr w:rsidR="00AB6342" w:rsidRPr="00414D2F" w14:paraId="129039D3" w14:textId="77777777" w:rsidTr="00466CC8">
        <w:trPr>
          <w:trHeight w:val="366"/>
        </w:trPr>
        <w:tc>
          <w:tcPr>
            <w:tcW w:w="1526" w:type="dxa"/>
            <w:shd w:val="clear" w:color="auto" w:fill="auto"/>
            <w:vAlign w:val="center"/>
          </w:tcPr>
          <w:p w14:paraId="4C49C87C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Toplantı Adı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59D1504" w14:textId="1E0E23F2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>2023 Yılı Kalite Koordinatörlüğü Toplantısı</w:t>
            </w:r>
            <w:r w:rsidR="00CB79C3">
              <w:rPr>
                <w:rFonts w:eastAsia="Times New Roman" w:cstheme="minorHAnsi"/>
                <w:lang w:val="tr-TR" w:eastAsia="tr-TR"/>
              </w:rPr>
              <w:t>-5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363C02D6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 xml:space="preserve">Toplantı No        </w:t>
            </w:r>
          </w:p>
          <w:p w14:paraId="3745910D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 xml:space="preserve"> (YIL- SAYI)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2DA7A3D" w14:textId="08EDED3A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>2023</w:t>
            </w:r>
            <w:r w:rsidRPr="00414D2F">
              <w:rPr>
                <w:rFonts w:eastAsia="Times New Roman" w:cstheme="minorHAnsi"/>
                <w:lang w:val="tr-TR" w:eastAsia="tr-TR"/>
              </w:rPr>
              <w:t xml:space="preserve"> /</w:t>
            </w:r>
            <w:r w:rsidR="00CB79C3">
              <w:rPr>
                <w:rFonts w:eastAsia="Times New Roman" w:cstheme="minorHAnsi"/>
                <w:lang w:val="tr-TR" w:eastAsia="tr-TR"/>
              </w:rPr>
              <w:t>5</w:t>
            </w:r>
          </w:p>
        </w:tc>
      </w:tr>
      <w:tr w:rsidR="00AB6342" w:rsidRPr="00414D2F" w14:paraId="25FCD6F3" w14:textId="77777777" w:rsidTr="00466CC8">
        <w:trPr>
          <w:trHeight w:val="366"/>
        </w:trPr>
        <w:tc>
          <w:tcPr>
            <w:tcW w:w="1526" w:type="dxa"/>
            <w:shd w:val="clear" w:color="auto" w:fill="auto"/>
            <w:vAlign w:val="center"/>
          </w:tcPr>
          <w:p w14:paraId="420707F4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Toplantı Konusu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2C9043E" w14:textId="4335E7EA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 xml:space="preserve">2022 Yılı KİDR Raporunun </w:t>
            </w:r>
            <w:r w:rsidR="00CB79C3">
              <w:rPr>
                <w:rFonts w:eastAsia="Times New Roman" w:cstheme="minorHAnsi"/>
                <w:lang w:val="tr-TR" w:eastAsia="tr-TR"/>
              </w:rPr>
              <w:t>Onaylanması ve Birim Faaliyet Raporları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14B487E2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Toplantıyı Düzenleyen Birim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CCD95E8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>Kalite Koordinatörlüğü</w:t>
            </w:r>
          </w:p>
        </w:tc>
      </w:tr>
      <w:tr w:rsidR="00AB6342" w:rsidRPr="00414D2F" w14:paraId="0B0C3994" w14:textId="77777777" w:rsidTr="00466CC8">
        <w:trPr>
          <w:trHeight w:val="376"/>
        </w:trPr>
        <w:tc>
          <w:tcPr>
            <w:tcW w:w="1526" w:type="dxa"/>
            <w:shd w:val="clear" w:color="auto" w:fill="auto"/>
            <w:vAlign w:val="center"/>
          </w:tcPr>
          <w:p w14:paraId="6FCEF0E1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Yasal Dayanak</w:t>
            </w: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14:paraId="70FBE850" w14:textId="77777777" w:rsidR="00AB6342" w:rsidRPr="00414D2F" w:rsidRDefault="00AB6342" w:rsidP="00466CC8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val="tr-TR"/>
              </w:rPr>
            </w:pPr>
          </w:p>
        </w:tc>
      </w:tr>
      <w:tr w:rsidR="00AB6342" w:rsidRPr="00414D2F" w14:paraId="37AAEAB4" w14:textId="77777777" w:rsidTr="00466CC8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14:paraId="6F09A79F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Toplantı Yeri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0707C31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 xml:space="preserve">Bandırma </w:t>
            </w:r>
            <w:proofErr w:type="spellStart"/>
            <w:r>
              <w:rPr>
                <w:rFonts w:eastAsia="Times New Roman" w:cstheme="minorHAnsi"/>
                <w:lang w:val="tr-TR" w:eastAsia="tr-TR"/>
              </w:rPr>
              <w:t>Onyedi</w:t>
            </w:r>
            <w:proofErr w:type="spellEnd"/>
            <w:r>
              <w:rPr>
                <w:rFonts w:eastAsia="Times New Roman" w:cstheme="minorHAnsi"/>
                <w:lang w:val="tr-TR" w:eastAsia="tr-TR"/>
              </w:rPr>
              <w:t xml:space="preserve"> Eylül Üniversitesi Merkez Yerleşke / Kalite Koordinatörlüğü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594056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Tarih / Saat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9060998" w14:textId="6403B86A" w:rsidR="00AB6342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lang w:val="tr-TR" w:eastAsia="tr-TR"/>
              </w:rPr>
              <w:t>06</w:t>
            </w:r>
            <w:r w:rsidR="00AB6342" w:rsidRPr="00414D2F">
              <w:rPr>
                <w:rFonts w:eastAsia="Times New Roman" w:cstheme="minorHAnsi"/>
                <w:lang w:val="tr-TR" w:eastAsia="tr-TR"/>
              </w:rPr>
              <w:t>/</w:t>
            </w:r>
            <w:r w:rsidR="00AB6342">
              <w:rPr>
                <w:rFonts w:eastAsia="Times New Roman" w:cstheme="minorHAnsi"/>
                <w:lang w:val="tr-TR" w:eastAsia="tr-TR"/>
              </w:rPr>
              <w:t>0</w:t>
            </w:r>
            <w:r>
              <w:rPr>
                <w:rFonts w:eastAsia="Times New Roman" w:cstheme="minorHAnsi"/>
                <w:lang w:val="tr-TR" w:eastAsia="tr-TR"/>
              </w:rPr>
              <w:t>4</w:t>
            </w:r>
            <w:r w:rsidR="00AB6342" w:rsidRPr="00414D2F">
              <w:rPr>
                <w:rFonts w:eastAsia="Times New Roman" w:cstheme="minorHAnsi"/>
                <w:lang w:val="tr-TR" w:eastAsia="tr-TR"/>
              </w:rPr>
              <w:t>/</w:t>
            </w:r>
            <w:r w:rsidR="00AB6342">
              <w:rPr>
                <w:rFonts w:eastAsia="Times New Roman" w:cstheme="minorHAnsi"/>
                <w:lang w:val="tr-TR" w:eastAsia="tr-TR"/>
              </w:rPr>
              <w:t>2023</w:t>
            </w:r>
            <w:r w:rsidR="00AB6342" w:rsidRPr="00414D2F">
              <w:rPr>
                <w:rFonts w:eastAsia="Times New Roman" w:cstheme="minorHAnsi"/>
                <w:lang w:val="tr-TR" w:eastAsia="tr-TR"/>
              </w:rPr>
              <w:t xml:space="preserve">- </w:t>
            </w:r>
            <w:r w:rsidR="00AB6342">
              <w:rPr>
                <w:rFonts w:eastAsia="Times New Roman" w:cstheme="minorHAnsi"/>
                <w:lang w:val="tr-TR" w:eastAsia="tr-TR"/>
              </w:rPr>
              <w:t>1</w:t>
            </w:r>
            <w:r>
              <w:rPr>
                <w:rFonts w:eastAsia="Times New Roman" w:cstheme="minorHAnsi"/>
                <w:lang w:val="tr-TR" w:eastAsia="tr-TR"/>
              </w:rPr>
              <w:t>1</w:t>
            </w:r>
            <w:r w:rsidR="00AB6342">
              <w:rPr>
                <w:rFonts w:eastAsia="Times New Roman" w:cstheme="minorHAnsi"/>
                <w:lang w:val="tr-TR" w:eastAsia="tr-TR"/>
              </w:rPr>
              <w:t>:00</w:t>
            </w:r>
          </w:p>
        </w:tc>
      </w:tr>
      <w:tr w:rsidR="00AB6342" w:rsidRPr="00414D2F" w14:paraId="0F17DE78" w14:textId="77777777" w:rsidTr="00466CC8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14:paraId="32FAD71B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İçerik</w:t>
            </w: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14:paraId="5C1AE6DF" w14:textId="77777777" w:rsidR="00AB6342" w:rsidRPr="00414D2F" w:rsidRDefault="00AB6342" w:rsidP="00466CC8">
            <w:pPr>
              <w:spacing w:after="0" w:line="240" w:lineRule="auto"/>
              <w:jc w:val="both"/>
              <w:rPr>
                <w:rFonts w:eastAsia="Times New Roman" w:cstheme="minorHAnsi"/>
                <w:lang w:val="tr-TR" w:eastAsia="tr-TR"/>
              </w:rPr>
            </w:pPr>
            <w:r w:rsidRPr="00414D2F">
              <w:rPr>
                <w:rFonts w:eastAsia="Times New Roman" w:cstheme="minorHAnsi"/>
                <w:lang w:val="tr-TR" w:eastAsia="tr-TR"/>
              </w:rPr>
              <w:t>Bu form toplantı gündemi, gündem dışı talepler(varsa), notlar (varsa), katılımcı listesi, alınan kararlar, onay ve şerh (varsa) bölümlerini içermektedir.</w:t>
            </w:r>
          </w:p>
        </w:tc>
      </w:tr>
      <w:tr w:rsidR="00AB6342" w:rsidRPr="00414D2F" w14:paraId="443F8EDE" w14:textId="77777777" w:rsidTr="00466CC8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14:paraId="21BE52D3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Dağıtım</w:t>
            </w:r>
          </w:p>
          <w:p w14:paraId="1D7C2918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lang w:val="tr-TR" w:eastAsia="tr-TR"/>
              </w:rPr>
            </w:pP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14:paraId="3F41394A" w14:textId="77777777" w:rsidR="00AB6342" w:rsidRPr="00414D2F" w:rsidRDefault="00AB6342" w:rsidP="00466CC8">
            <w:pPr>
              <w:spacing w:after="0" w:line="240" w:lineRule="auto"/>
              <w:jc w:val="both"/>
              <w:rPr>
                <w:rFonts w:eastAsia="Times New Roman" w:cstheme="minorHAnsi"/>
                <w:lang w:val="tr-TR" w:eastAsia="tr-TR"/>
              </w:rPr>
            </w:pPr>
            <w:r w:rsidRPr="00414D2F">
              <w:rPr>
                <w:rFonts w:eastAsia="Times New Roman" w:cstheme="minorHAnsi"/>
                <w:lang w:val="tr-TR" w:eastAsia="tr-TR"/>
              </w:rPr>
              <w:t>Formun basılı nüshası/nüshaları ilgili taraflara verilecektir.</w:t>
            </w:r>
          </w:p>
        </w:tc>
      </w:tr>
      <w:tr w:rsidR="00AB6342" w:rsidRPr="00414D2F" w14:paraId="2722B6E8" w14:textId="77777777" w:rsidTr="00466CC8">
        <w:trPr>
          <w:trHeight w:val="32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558C353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TOPLANTI GÜNDEMİ</w:t>
            </w:r>
          </w:p>
        </w:tc>
        <w:tc>
          <w:tcPr>
            <w:tcW w:w="451" w:type="dxa"/>
            <w:shd w:val="clear" w:color="auto" w:fill="auto"/>
          </w:tcPr>
          <w:p w14:paraId="494A177A" w14:textId="77777777" w:rsidR="00AB6342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</w:p>
          <w:p w14:paraId="3A73725F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1</w:t>
            </w:r>
          </w:p>
          <w:p w14:paraId="79F77230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14:paraId="24E486D0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</w:p>
          <w:p w14:paraId="6E149846" w14:textId="566FBF06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2022 KİDR raporunun hazırlanması</w:t>
            </w:r>
          </w:p>
        </w:tc>
      </w:tr>
      <w:tr w:rsidR="00AB6342" w:rsidRPr="00414D2F" w14:paraId="30B2D2F9" w14:textId="77777777" w:rsidTr="00466CC8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14:paraId="79CFB752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14:paraId="30B8CB36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2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3C58AB5D" w14:textId="794EC07A" w:rsidR="00AB6342" w:rsidRPr="00414D2F" w:rsidRDefault="00CB79C3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Birim Faaliyet Raporlarının Oluşturulmasına Yönelik Düzenlemeler</w:t>
            </w:r>
          </w:p>
        </w:tc>
      </w:tr>
      <w:tr w:rsidR="00AB6342" w:rsidRPr="00414D2F" w14:paraId="466977AF" w14:textId="77777777" w:rsidTr="00466CC8">
        <w:trPr>
          <w:trHeight w:val="44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754592C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 xml:space="preserve">GÜNDEM DIŞI TALEPLER * </w:t>
            </w:r>
          </w:p>
        </w:tc>
        <w:tc>
          <w:tcPr>
            <w:tcW w:w="451" w:type="dxa"/>
            <w:shd w:val="clear" w:color="auto" w:fill="auto"/>
          </w:tcPr>
          <w:p w14:paraId="59EDC819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1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12223C21" w14:textId="67303B5B" w:rsidR="00AB6342" w:rsidRPr="00414D2F" w:rsidRDefault="00CB79C3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Kalite Komisyonu Üyelerinin değişimi</w:t>
            </w:r>
          </w:p>
        </w:tc>
      </w:tr>
      <w:tr w:rsidR="00AB6342" w:rsidRPr="00414D2F" w14:paraId="4196A57A" w14:textId="77777777" w:rsidTr="00466CC8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14:paraId="5721492B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14:paraId="3300D33C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2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1B46BC1" w14:textId="4D6D3346" w:rsidR="00AB6342" w:rsidRPr="00414D2F" w:rsidRDefault="006A234A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İdari Birim Dokümanlarının Onaylanması</w:t>
            </w:r>
          </w:p>
        </w:tc>
      </w:tr>
      <w:tr w:rsidR="00AB6342" w:rsidRPr="00414D2F" w14:paraId="6F95097B" w14:textId="77777777" w:rsidTr="00466CC8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14:paraId="4B571568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14:paraId="66DD19AF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3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B2F45C9" w14:textId="719CB6C4" w:rsidR="00AB6342" w:rsidRPr="00414D2F" w:rsidRDefault="000639AF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Kalite Koordinatörlüğü Web Sayfasının Güncelliği</w:t>
            </w:r>
          </w:p>
        </w:tc>
      </w:tr>
      <w:tr w:rsidR="00AB6342" w:rsidRPr="00414D2F" w14:paraId="469B145A" w14:textId="77777777" w:rsidTr="00466CC8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14:paraId="4399AF3E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14:paraId="79E4A53A" w14:textId="77777777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4 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3A39BC1" w14:textId="2C1BF1BF" w:rsidR="00AB6342" w:rsidRPr="00414D2F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</w:p>
        </w:tc>
      </w:tr>
      <w:tr w:rsidR="00AB6342" w:rsidRPr="00414D2F" w14:paraId="6DD7DAF2" w14:textId="77777777" w:rsidTr="00466CC8">
        <w:trPr>
          <w:trHeight w:val="444"/>
        </w:trPr>
        <w:tc>
          <w:tcPr>
            <w:tcW w:w="1526" w:type="dxa"/>
            <w:shd w:val="clear" w:color="auto" w:fill="auto"/>
            <w:vAlign w:val="center"/>
          </w:tcPr>
          <w:p w14:paraId="4668A759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14:paraId="37E8D554" w14:textId="77777777" w:rsidR="00AB6342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5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7A4CC2BE" w14:textId="4715FA9D" w:rsidR="00AB6342" w:rsidRPr="0039249E" w:rsidRDefault="00AB6342" w:rsidP="00466CC8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</w:p>
        </w:tc>
      </w:tr>
      <w:tr w:rsidR="00AB6342" w:rsidRPr="00414D2F" w14:paraId="0C1F32CA" w14:textId="77777777" w:rsidTr="00466CC8">
        <w:trPr>
          <w:trHeight w:val="947"/>
        </w:trPr>
        <w:tc>
          <w:tcPr>
            <w:tcW w:w="10057" w:type="dxa"/>
            <w:gridSpan w:val="6"/>
            <w:shd w:val="clear" w:color="auto" w:fill="auto"/>
            <w:vAlign w:val="center"/>
          </w:tcPr>
          <w:p w14:paraId="0CF773B9" w14:textId="77777777" w:rsidR="00AB6342" w:rsidRPr="00414D2F" w:rsidRDefault="00AB6342" w:rsidP="00466CC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*</w:t>
            </w:r>
            <w:r w:rsidRPr="00414D2F">
              <w:rPr>
                <w:rFonts w:eastAsia="Times New Roman" w:cstheme="minorHAnsi"/>
                <w:b/>
                <w:i/>
                <w:lang w:val="tr-TR" w:eastAsia="tr-TR"/>
              </w:rPr>
              <w:t xml:space="preserve"> Tüm kurul üyeleri sorumluluk alanlarında gerekli gördükleri konuları kurulda görüşülmek üzere, gündem dışı olarak teklif edebileceklerdir.</w:t>
            </w:r>
          </w:p>
        </w:tc>
      </w:tr>
      <w:tr w:rsidR="00AB6342" w:rsidRPr="00414D2F" w14:paraId="32C05D97" w14:textId="77777777" w:rsidTr="00466CC8">
        <w:trPr>
          <w:trHeight w:val="1909"/>
        </w:trPr>
        <w:tc>
          <w:tcPr>
            <w:tcW w:w="10057" w:type="dxa"/>
            <w:gridSpan w:val="6"/>
            <w:shd w:val="clear" w:color="auto" w:fill="auto"/>
            <w:vAlign w:val="center"/>
          </w:tcPr>
          <w:p w14:paraId="23EC13CD" w14:textId="77777777" w:rsidR="00AB6342" w:rsidRPr="0039249E" w:rsidRDefault="00AB6342" w:rsidP="00466CC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Notlar:</w:t>
            </w:r>
          </w:p>
        </w:tc>
      </w:tr>
    </w:tbl>
    <w:p w14:paraId="18D33396" w14:textId="77777777" w:rsidR="00AB6342" w:rsidRPr="00414D2F" w:rsidRDefault="00AB6342" w:rsidP="00AB6342">
      <w:pPr>
        <w:rPr>
          <w:rFonts w:cstheme="minorHAnsi"/>
        </w:rPr>
      </w:pPr>
    </w:p>
    <w:p w14:paraId="796ED123" w14:textId="70D47FC6" w:rsidR="00AB6342" w:rsidRPr="00414D2F" w:rsidRDefault="00AB6342" w:rsidP="00AB6342">
      <w:pPr>
        <w:rPr>
          <w:rFonts w:cstheme="minorHAnsi"/>
        </w:rPr>
      </w:pPr>
    </w:p>
    <w:p w14:paraId="2B5A2F24" w14:textId="77777777" w:rsidR="00AB6342" w:rsidRPr="00414D2F" w:rsidRDefault="00AB6342" w:rsidP="00AB6342">
      <w:pPr>
        <w:rPr>
          <w:rFonts w:cstheme="minorHAn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50"/>
        <w:gridCol w:w="2835"/>
      </w:tblGrid>
      <w:tr w:rsidR="00AB6342" w:rsidRPr="00414D2F" w14:paraId="533C106D" w14:textId="77777777" w:rsidTr="00CB79C3">
        <w:trPr>
          <w:trHeight w:val="546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3DCF42A2" w14:textId="77777777" w:rsidR="00AB6342" w:rsidRPr="00414D2F" w:rsidRDefault="00AB6342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lastRenderedPageBreak/>
              <w:t>ALINAN KARARLAR</w:t>
            </w:r>
          </w:p>
        </w:tc>
      </w:tr>
      <w:tr w:rsidR="00CB79C3" w:rsidRPr="00414D2F" w14:paraId="6631B8A1" w14:textId="77777777" w:rsidTr="006F348A">
        <w:trPr>
          <w:trHeight w:val="467"/>
        </w:trPr>
        <w:tc>
          <w:tcPr>
            <w:tcW w:w="675" w:type="dxa"/>
            <w:shd w:val="clear" w:color="auto" w:fill="auto"/>
            <w:vAlign w:val="center"/>
          </w:tcPr>
          <w:p w14:paraId="424EFBB1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No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B1A83D3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Karar Açıklaması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00EB9" w14:textId="36671E86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proofErr w:type="spellStart"/>
            <w:r w:rsidRPr="00414D2F">
              <w:rPr>
                <w:rFonts w:eastAsia="Times New Roman" w:cstheme="minorHAnsi"/>
                <w:b/>
                <w:lang w:val="tr-TR" w:eastAsia="tr-TR"/>
              </w:rPr>
              <w:t>Termin</w:t>
            </w:r>
            <w:proofErr w:type="spellEnd"/>
            <w:r w:rsidRPr="00414D2F">
              <w:rPr>
                <w:rFonts w:eastAsia="Times New Roman" w:cstheme="minorHAnsi"/>
                <w:b/>
                <w:lang w:val="tr-TR" w:eastAsia="tr-TR"/>
              </w:rPr>
              <w:t xml:space="preserve"> Tarihi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 ve Süreci</w:t>
            </w:r>
          </w:p>
        </w:tc>
      </w:tr>
      <w:tr w:rsidR="00CB79C3" w:rsidRPr="00414D2F" w14:paraId="3D597906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1C84E835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14:paraId="31CD0C6D" w14:textId="02701F14" w:rsidR="00CB79C3" w:rsidRPr="004C56B6" w:rsidRDefault="00CB79C3" w:rsidP="00BC24D6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12.04.2023 tarihinde 14.00’da Yeni Senato Salonu’nda 2022 yılı Kurum İç Değerlendirme Raporu’nun hazırlanmasına yönelik olarak Kalite Komisyonu’nun toplanmasına ve hazırlanan </w:t>
            </w:r>
            <w:proofErr w:type="spellStart"/>
            <w:r>
              <w:rPr>
                <w:rFonts w:eastAsia="Times New Roman" w:cstheme="minorHAnsi"/>
                <w:b/>
                <w:lang w:val="tr-TR" w:eastAsia="tr-TR"/>
              </w:rPr>
              <w:t>KİDR’ın</w:t>
            </w:r>
            <w:proofErr w:type="spellEnd"/>
            <w:r>
              <w:rPr>
                <w:rFonts w:eastAsia="Times New Roman" w:cstheme="minorHAnsi"/>
                <w:b/>
                <w:lang w:val="tr-TR" w:eastAsia="tr-TR"/>
              </w:rPr>
              <w:t xml:space="preserve"> onaya sunulmasına karar verilmiştir. </w:t>
            </w:r>
          </w:p>
        </w:tc>
        <w:tc>
          <w:tcPr>
            <w:tcW w:w="2835" w:type="dxa"/>
            <w:shd w:val="clear" w:color="auto" w:fill="auto"/>
          </w:tcPr>
          <w:p w14:paraId="375E7273" w14:textId="1ADB967E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Komisyon üyelerine 07.04.2023 tarihine kadar </w:t>
            </w:r>
            <w:proofErr w:type="spellStart"/>
            <w:r>
              <w:rPr>
                <w:rFonts w:eastAsia="Times New Roman" w:cstheme="minorHAnsi"/>
                <w:b/>
                <w:lang w:val="tr-TR" w:eastAsia="tr-TR"/>
              </w:rPr>
              <w:t>EBYS’den</w:t>
            </w:r>
            <w:proofErr w:type="spellEnd"/>
            <w:r>
              <w:rPr>
                <w:rFonts w:eastAsia="Times New Roman" w:cstheme="minorHAnsi"/>
                <w:b/>
                <w:lang w:val="tr-TR" w:eastAsia="tr-TR"/>
              </w:rPr>
              <w:t xml:space="preserve"> çağrı metni iletilecektir.</w:t>
            </w:r>
          </w:p>
        </w:tc>
      </w:tr>
      <w:tr w:rsidR="00CB79C3" w:rsidRPr="00414D2F" w14:paraId="5B2C2283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2C84AD74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14:paraId="78FEFF8C" w14:textId="65B3A0C4" w:rsidR="00CB79C3" w:rsidRPr="004C56B6" w:rsidRDefault="00CB79C3" w:rsidP="00BC24D6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Yapılacak olan Kalite Komisyonu toplantısında dinamik bir çalışma alanı yaratmak ve kalite kültürünü üniversite geneline yaymak amacıyla komisyon üyelerinin değişimi gündeminin tartışılması uygun görülmüştür. </w:t>
            </w:r>
          </w:p>
        </w:tc>
        <w:tc>
          <w:tcPr>
            <w:tcW w:w="2835" w:type="dxa"/>
            <w:shd w:val="clear" w:color="auto" w:fill="auto"/>
          </w:tcPr>
          <w:p w14:paraId="04340839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</w:tr>
      <w:tr w:rsidR="00CB79C3" w:rsidRPr="00414D2F" w14:paraId="38A5041A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4734D115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14:paraId="5045F622" w14:textId="6E41688C" w:rsidR="00CB79C3" w:rsidRPr="00414D2F" w:rsidRDefault="00CB79C3" w:rsidP="00BC24D6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Üniversitemiz tüm birimlerinde Birim Faaliyet </w:t>
            </w:r>
            <w:r w:rsidR="00FF0DEF">
              <w:rPr>
                <w:rFonts w:eastAsia="Times New Roman" w:cstheme="minorHAnsi"/>
                <w:b/>
                <w:lang w:val="tr-TR" w:eastAsia="tr-TR"/>
              </w:rPr>
              <w:t>Planı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 hazırlanmasına ve ilgili raporların BKYS sistemine yüklenmesi 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amacıyla 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Dr. Öğr. Üyesi Fahrettin Burak </w:t>
            </w:r>
            <w:proofErr w:type="spellStart"/>
            <w:r>
              <w:rPr>
                <w:rFonts w:eastAsia="Times New Roman" w:cstheme="minorHAnsi"/>
                <w:b/>
                <w:lang w:val="tr-TR" w:eastAsia="tr-TR"/>
              </w:rPr>
              <w:t>DEMİR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>’in</w:t>
            </w:r>
            <w:proofErr w:type="spellEnd"/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val="tr-TR" w:eastAsia="tr-TR"/>
              </w:rPr>
              <w:t>11.04.2023 tarihinde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 xml:space="preserve"> 13.00 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Birim Kalite Yöneticilerine çevrimiçi eğitim verilmesi kararlaştırılmıştır. </w:t>
            </w:r>
          </w:p>
        </w:tc>
        <w:tc>
          <w:tcPr>
            <w:tcW w:w="2835" w:type="dxa"/>
            <w:shd w:val="clear" w:color="auto" w:fill="auto"/>
          </w:tcPr>
          <w:p w14:paraId="53532AFD" w14:textId="05516EEE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Birim Kalite Komisyonu üyelerine 06.04.2023 tarihinde EBYS üzerinden çağrı metni iletilecektir.</w:t>
            </w:r>
          </w:p>
        </w:tc>
      </w:tr>
      <w:tr w:rsidR="00CB79C3" w:rsidRPr="00414D2F" w14:paraId="6E1187CF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2D9B2B45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14:paraId="34D7B708" w14:textId="2C1F44DB" w:rsidR="00CB79C3" w:rsidRPr="00414D2F" w:rsidRDefault="00CB79C3" w:rsidP="00BC24D6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Birim Faaliyet Planı eğitiminden sonra 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>Ocak, Şubat, Mart, Nisan aylarının raporları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 xml:space="preserve">nın </w:t>
            </w:r>
            <w:r>
              <w:rPr>
                <w:rFonts w:eastAsia="Times New Roman" w:cstheme="minorHAnsi"/>
                <w:b/>
                <w:lang w:val="tr-TR" w:eastAsia="tr-TR"/>
              </w:rPr>
              <w:t>25.04.2023 tarihine kadar tüm birimler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 xml:space="preserve">in 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BKYS sistemine giriş yapmaları istenecektir. 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 xml:space="preserve">Takip eden aylarda ise her ayın 1’i ve 10’u arası giriş yapmaları gerektiği 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birimlere </w:t>
            </w:r>
            <w:r w:rsidR="00C7617A">
              <w:rPr>
                <w:rFonts w:eastAsia="Times New Roman" w:cstheme="minorHAnsi"/>
                <w:b/>
                <w:lang w:val="tr-TR" w:eastAsia="tr-TR"/>
              </w:rPr>
              <w:t>ifade edilecektir.</w:t>
            </w:r>
          </w:p>
        </w:tc>
        <w:tc>
          <w:tcPr>
            <w:tcW w:w="2835" w:type="dxa"/>
            <w:shd w:val="clear" w:color="auto" w:fill="auto"/>
          </w:tcPr>
          <w:p w14:paraId="4A8BBE54" w14:textId="0D1F802F" w:rsidR="00CB79C3" w:rsidRPr="00414D2F" w:rsidRDefault="00C7617A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11.04.2023 saat 13.00</w:t>
            </w:r>
          </w:p>
        </w:tc>
      </w:tr>
      <w:tr w:rsidR="00CB79C3" w:rsidRPr="00414D2F" w14:paraId="0BAA90BC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31941499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14:paraId="18E709ED" w14:textId="716BCA2E" w:rsidR="00CB79C3" w:rsidRPr="00414D2F" w:rsidRDefault="00C7617A" w:rsidP="00BC24D6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Kalite Koordinatörlüğü web sitesi personel sekmesinde Doç. Dr. Ebru Kaya MUTLU, Doç. Dr. Selva </w:t>
            </w:r>
            <w:r w:rsidR="006A234A">
              <w:rPr>
                <w:rFonts w:eastAsia="Times New Roman" w:cstheme="minorHAnsi"/>
                <w:b/>
                <w:lang w:val="tr-TR" w:eastAsia="tr-TR"/>
              </w:rPr>
              <w:t>STAUB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 ve Dr. Öğr. Üyesi Fahrettin Burak </w:t>
            </w:r>
            <w:proofErr w:type="spellStart"/>
            <w:r>
              <w:rPr>
                <w:rFonts w:eastAsia="Times New Roman" w:cstheme="minorHAnsi"/>
                <w:b/>
                <w:lang w:val="tr-TR" w:eastAsia="tr-TR"/>
              </w:rPr>
              <w:t>DEMİR’in</w:t>
            </w:r>
            <w:proofErr w:type="spellEnd"/>
            <w:r>
              <w:rPr>
                <w:rFonts w:eastAsia="Times New Roman" w:cstheme="minorHAnsi"/>
                <w:b/>
                <w:lang w:val="tr-TR" w:eastAsia="tr-TR"/>
              </w:rPr>
              <w:t xml:space="preserve"> eklenmesi ile ilgili olarak Bilgi İşlem Daire Başkanlığı’ndan talepte bulunulması kararlaştırılmıştır.</w:t>
            </w:r>
          </w:p>
        </w:tc>
        <w:tc>
          <w:tcPr>
            <w:tcW w:w="2835" w:type="dxa"/>
            <w:shd w:val="clear" w:color="auto" w:fill="auto"/>
          </w:tcPr>
          <w:p w14:paraId="7ABEFADB" w14:textId="042FA13C" w:rsidR="00CB79C3" w:rsidRPr="00414D2F" w:rsidRDefault="00C7617A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06.04.2023</w:t>
            </w:r>
            <w:r w:rsidR="006A234A">
              <w:rPr>
                <w:rFonts w:eastAsia="Times New Roman" w:cstheme="minorHAnsi"/>
                <w:b/>
                <w:lang w:val="tr-TR" w:eastAsia="tr-TR"/>
              </w:rPr>
              <w:t xml:space="preserve"> </w:t>
            </w:r>
            <w:r w:rsidR="006A234A">
              <w:rPr>
                <w:rFonts w:eastAsia="Times New Roman" w:cstheme="minorHAnsi"/>
                <w:b/>
                <w:lang w:val="tr-TR" w:eastAsia="tr-TR"/>
              </w:rPr>
              <w:t xml:space="preserve">tarihinde EBYS üzerinden </w:t>
            </w:r>
            <w:r w:rsidR="006A234A">
              <w:rPr>
                <w:rFonts w:eastAsia="Times New Roman" w:cstheme="minorHAnsi"/>
                <w:b/>
                <w:lang w:val="tr-TR" w:eastAsia="tr-TR"/>
              </w:rPr>
              <w:t>talep</w:t>
            </w:r>
            <w:r w:rsidR="006A234A">
              <w:rPr>
                <w:rFonts w:eastAsia="Times New Roman" w:cstheme="minorHAnsi"/>
                <w:b/>
                <w:lang w:val="tr-TR" w:eastAsia="tr-TR"/>
              </w:rPr>
              <w:t xml:space="preserve"> metni iletilecektir.</w:t>
            </w:r>
          </w:p>
        </w:tc>
      </w:tr>
      <w:tr w:rsidR="00CB79C3" w:rsidRPr="00414D2F" w14:paraId="7EC40BBB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16AA11F7" w14:textId="340CE94F" w:rsidR="00CB79C3" w:rsidRPr="00414D2F" w:rsidRDefault="006F348A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14:paraId="157FF717" w14:textId="58B2363E" w:rsidR="00CB79C3" w:rsidRPr="00414D2F" w:rsidRDefault="006A234A" w:rsidP="006A234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Dokümantasyon Alt Çalışma Grubu ile idari birim dokümanlarının incelenmesi ve onaya hazır hale gelmesine yönelik olarak 13 Nisan 2023 tarihinde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 saat 11.00’da</w:t>
            </w:r>
            <w:r>
              <w:rPr>
                <w:rFonts w:eastAsia="Times New Roman" w:cstheme="minorHAnsi"/>
                <w:b/>
                <w:lang w:val="tr-TR" w:eastAsia="tr-TR"/>
              </w:rPr>
              <w:t xml:space="preserve"> toplantı yapılması, toplantıya Kalite Koordinatör Yardımcıları, çalışma grubu üyeleri ve Strateji Geliştirme Daire Başkanlığı Şube Müdürü Ömer Faruk Eğri’nin katılması uygun görülmüştür.</w:t>
            </w:r>
          </w:p>
        </w:tc>
        <w:tc>
          <w:tcPr>
            <w:tcW w:w="2835" w:type="dxa"/>
            <w:shd w:val="clear" w:color="auto" w:fill="auto"/>
          </w:tcPr>
          <w:p w14:paraId="7C9517EE" w14:textId="02DA53AF" w:rsidR="00CB79C3" w:rsidRPr="00414D2F" w:rsidRDefault="006A234A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06.04.2023 </w:t>
            </w:r>
            <w:r>
              <w:rPr>
                <w:rFonts w:eastAsia="Times New Roman" w:cstheme="minorHAnsi"/>
                <w:b/>
                <w:lang w:val="tr-TR" w:eastAsia="tr-TR"/>
              </w:rPr>
              <w:t>tarihinde EBYS üzerinden çağrı metni iletilecektir.</w:t>
            </w:r>
          </w:p>
        </w:tc>
      </w:tr>
      <w:tr w:rsidR="00CB79C3" w:rsidRPr="00414D2F" w14:paraId="1C318704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4202F1F4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14:paraId="06090293" w14:textId="617C8A33" w:rsidR="00CB79C3" w:rsidRPr="00414D2F" w:rsidRDefault="000639AF" w:rsidP="000639A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Tüm birimlerin faaliyet raporlarının web sitelerine eklemesine dair bir duyuru yapılması kararlaştırılmıştır.</w:t>
            </w:r>
          </w:p>
        </w:tc>
        <w:tc>
          <w:tcPr>
            <w:tcW w:w="2835" w:type="dxa"/>
            <w:shd w:val="clear" w:color="auto" w:fill="auto"/>
          </w:tcPr>
          <w:p w14:paraId="7E0EE343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</w:tr>
      <w:tr w:rsidR="00CB79C3" w:rsidRPr="00414D2F" w14:paraId="4EF60ADC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331559BA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14:paraId="55201407" w14:textId="7CBC01AE" w:rsidR="00CB79C3" w:rsidRPr="00414D2F" w:rsidRDefault="00FF0DEF" w:rsidP="006F348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 xml:space="preserve">2022 yılı 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Birim İç Değerlendirme Raporu oluşturulmasına yönelik bir taslak dosya oluşturulmasına karar verilmiştir. Akabinde birimlerin iç değerlendirme raporunu </w:t>
            </w:r>
            <w:r>
              <w:rPr>
                <w:rFonts w:eastAsia="Times New Roman" w:cstheme="minorHAnsi"/>
                <w:b/>
                <w:lang w:val="tr-TR" w:eastAsia="tr-TR"/>
              </w:rPr>
              <w:t>02.05.2023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 xml:space="preserve"> </w:t>
            </w:r>
            <w:r>
              <w:rPr>
                <w:rFonts w:eastAsia="Times New Roman" w:cstheme="minorHAnsi"/>
                <w:b/>
                <w:lang w:val="tr-TR" w:eastAsia="tr-TR"/>
              </w:rPr>
              <w:t>t</w:t>
            </w:r>
            <w:r w:rsidR="006F348A">
              <w:rPr>
                <w:rFonts w:eastAsia="Times New Roman" w:cstheme="minorHAnsi"/>
                <w:b/>
                <w:lang w:val="tr-TR" w:eastAsia="tr-TR"/>
              </w:rPr>
              <w:t>arihine kadar hazırlamaları ve web sitelerinde ilan etmeleri kararı alınmıştır.</w:t>
            </w:r>
          </w:p>
        </w:tc>
        <w:tc>
          <w:tcPr>
            <w:tcW w:w="2835" w:type="dxa"/>
            <w:shd w:val="clear" w:color="auto" w:fill="auto"/>
          </w:tcPr>
          <w:p w14:paraId="729B681D" w14:textId="2F02482A" w:rsidR="00CB79C3" w:rsidRPr="00414D2F" w:rsidRDefault="00FF0DEF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>
              <w:rPr>
                <w:rFonts w:eastAsia="Times New Roman" w:cstheme="minorHAnsi"/>
                <w:b/>
                <w:lang w:val="tr-TR" w:eastAsia="tr-TR"/>
              </w:rPr>
              <w:t>11.04.2023 tarihinde duyuru yapılması planlanmıştır.</w:t>
            </w:r>
          </w:p>
        </w:tc>
      </w:tr>
      <w:tr w:rsidR="00CB79C3" w:rsidRPr="00414D2F" w14:paraId="66B596AA" w14:textId="77777777" w:rsidTr="006F348A">
        <w:trPr>
          <w:trHeight w:val="467"/>
        </w:trPr>
        <w:tc>
          <w:tcPr>
            <w:tcW w:w="675" w:type="dxa"/>
            <w:shd w:val="clear" w:color="auto" w:fill="auto"/>
          </w:tcPr>
          <w:p w14:paraId="500B6A2B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  <w:r w:rsidRPr="00414D2F">
              <w:rPr>
                <w:rFonts w:eastAsia="Times New Roman" w:cstheme="minorHAnsi"/>
                <w:b/>
                <w:lang w:val="tr-TR" w:eastAsia="tr-TR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14:paraId="60F4E210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  <w:tc>
          <w:tcPr>
            <w:tcW w:w="2835" w:type="dxa"/>
            <w:shd w:val="clear" w:color="auto" w:fill="auto"/>
          </w:tcPr>
          <w:p w14:paraId="4067BC74" w14:textId="77777777" w:rsidR="00CB79C3" w:rsidRPr="00414D2F" w:rsidRDefault="00CB79C3" w:rsidP="00466CC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tr-TR" w:eastAsia="tr-TR"/>
              </w:rPr>
            </w:pPr>
          </w:p>
        </w:tc>
      </w:tr>
    </w:tbl>
    <w:p w14:paraId="28F920E6" w14:textId="77777777" w:rsidR="00AB6342" w:rsidRDefault="00AB6342" w:rsidP="00AB6342">
      <w:pPr>
        <w:rPr>
          <w:rFonts w:cstheme="minorHAnsi"/>
        </w:rPr>
      </w:pPr>
    </w:p>
    <w:p w14:paraId="786FCD20" w14:textId="77777777" w:rsidR="00AB6342" w:rsidRDefault="00AB6342" w:rsidP="00AB6342">
      <w:pPr>
        <w:rPr>
          <w:rFonts w:cstheme="minorHAnsi"/>
        </w:rPr>
      </w:pPr>
    </w:p>
    <w:p w14:paraId="1AE78703" w14:textId="3F548975" w:rsidR="00AB6342" w:rsidRPr="00AF1A60" w:rsidRDefault="00AB6342" w:rsidP="00AB6342">
      <w:pPr>
        <w:rPr>
          <w:rFonts w:cstheme="minorHAnsi"/>
          <w:b/>
          <w:bCs/>
        </w:rPr>
      </w:pPr>
      <w:proofErr w:type="spellStart"/>
      <w:r w:rsidRPr="00AF1A60">
        <w:rPr>
          <w:rFonts w:cstheme="minorHAnsi"/>
          <w:b/>
          <w:bCs/>
        </w:rPr>
        <w:lastRenderedPageBreak/>
        <w:t>Katılımcı</w:t>
      </w:r>
      <w:proofErr w:type="spellEnd"/>
      <w:r w:rsidRPr="00AF1A60">
        <w:rPr>
          <w:rFonts w:cstheme="minorHAnsi"/>
          <w:b/>
          <w:bCs/>
        </w:rPr>
        <w:t xml:space="preserve"> </w:t>
      </w:r>
      <w:proofErr w:type="spellStart"/>
      <w:r w:rsidRPr="00AF1A60">
        <w:rPr>
          <w:rFonts w:cstheme="minorHAnsi"/>
          <w:b/>
          <w:bCs/>
        </w:rPr>
        <w:t>İmza</w:t>
      </w:r>
      <w:proofErr w:type="spellEnd"/>
      <w:r w:rsidRPr="00AF1A60">
        <w:rPr>
          <w:rFonts w:cstheme="minorHAnsi"/>
          <w:b/>
          <w:bCs/>
        </w:rPr>
        <w:t xml:space="preserve"> </w:t>
      </w:r>
      <w:proofErr w:type="spellStart"/>
      <w:r w:rsidRPr="00AF1A60">
        <w:rPr>
          <w:rFonts w:cstheme="minorHAnsi"/>
          <w:b/>
          <w:bCs/>
        </w:rPr>
        <w:t>Tutanağı</w:t>
      </w:r>
      <w:proofErr w:type="spellEnd"/>
    </w:p>
    <w:p w14:paraId="3F3344BF" w14:textId="77777777" w:rsidR="00AB6342" w:rsidRDefault="00AB6342" w:rsidP="00AB6342">
      <w:pPr>
        <w:rPr>
          <w:rFonts w:cstheme="minorHAnsi"/>
        </w:rPr>
      </w:pPr>
    </w:p>
    <w:tbl>
      <w:tblPr>
        <w:tblStyle w:val="TabloKlavuzu"/>
        <w:tblW w:w="10006" w:type="dxa"/>
        <w:tblLook w:val="04A0" w:firstRow="1" w:lastRow="0" w:firstColumn="1" w:lastColumn="0" w:noHBand="0" w:noVBand="1"/>
      </w:tblPr>
      <w:tblGrid>
        <w:gridCol w:w="3823"/>
        <w:gridCol w:w="3685"/>
        <w:gridCol w:w="2498"/>
      </w:tblGrid>
      <w:tr w:rsidR="00AB6342" w14:paraId="05887B8B" w14:textId="77777777" w:rsidTr="00466CC8">
        <w:trPr>
          <w:trHeight w:val="489"/>
        </w:trPr>
        <w:tc>
          <w:tcPr>
            <w:tcW w:w="3823" w:type="dxa"/>
          </w:tcPr>
          <w:p w14:paraId="2CE1383E" w14:textId="77777777" w:rsidR="00AB6342" w:rsidRPr="00AF1A60" w:rsidRDefault="00AB6342" w:rsidP="00466CC8">
            <w:pPr>
              <w:rPr>
                <w:rFonts w:cstheme="minorHAnsi"/>
                <w:b/>
                <w:bCs/>
              </w:rPr>
            </w:pPr>
            <w:proofErr w:type="spellStart"/>
            <w:r w:rsidRPr="00AF1A60">
              <w:rPr>
                <w:rFonts w:cstheme="minorHAnsi"/>
                <w:b/>
                <w:bCs/>
              </w:rPr>
              <w:t>Adı</w:t>
            </w:r>
            <w:proofErr w:type="spellEnd"/>
            <w:r w:rsidRPr="00AF1A6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F1A60">
              <w:rPr>
                <w:rFonts w:cstheme="minorHAnsi"/>
                <w:b/>
                <w:bCs/>
              </w:rPr>
              <w:t>Soyadı</w:t>
            </w:r>
            <w:proofErr w:type="spellEnd"/>
          </w:p>
        </w:tc>
        <w:tc>
          <w:tcPr>
            <w:tcW w:w="3685" w:type="dxa"/>
          </w:tcPr>
          <w:p w14:paraId="573768BB" w14:textId="77777777" w:rsidR="00AB6342" w:rsidRPr="00AF1A60" w:rsidRDefault="00AB6342" w:rsidP="00466CC8">
            <w:pPr>
              <w:rPr>
                <w:rFonts w:cstheme="minorHAnsi"/>
                <w:b/>
                <w:bCs/>
              </w:rPr>
            </w:pPr>
            <w:proofErr w:type="spellStart"/>
            <w:r w:rsidRPr="00AF1A60">
              <w:rPr>
                <w:rFonts w:cstheme="minorHAnsi"/>
                <w:b/>
                <w:bCs/>
              </w:rPr>
              <w:t>Görevi</w:t>
            </w:r>
            <w:proofErr w:type="spellEnd"/>
          </w:p>
        </w:tc>
        <w:tc>
          <w:tcPr>
            <w:tcW w:w="2498" w:type="dxa"/>
          </w:tcPr>
          <w:p w14:paraId="03B9AF58" w14:textId="77777777" w:rsidR="00AB6342" w:rsidRPr="00AF1A60" w:rsidRDefault="00AB6342" w:rsidP="00466CC8">
            <w:pPr>
              <w:rPr>
                <w:rFonts w:cstheme="minorHAnsi"/>
                <w:b/>
                <w:bCs/>
              </w:rPr>
            </w:pPr>
            <w:proofErr w:type="spellStart"/>
            <w:r w:rsidRPr="00AF1A60">
              <w:rPr>
                <w:rFonts w:cstheme="minorHAnsi"/>
                <w:b/>
                <w:bCs/>
              </w:rPr>
              <w:t>İmza</w:t>
            </w:r>
            <w:proofErr w:type="spellEnd"/>
          </w:p>
        </w:tc>
      </w:tr>
      <w:tr w:rsidR="00AB6342" w14:paraId="794CCA13" w14:textId="77777777" w:rsidTr="00466CC8">
        <w:trPr>
          <w:trHeight w:val="489"/>
        </w:trPr>
        <w:tc>
          <w:tcPr>
            <w:tcW w:w="3823" w:type="dxa"/>
          </w:tcPr>
          <w:p w14:paraId="3CDC2AAB" w14:textId="79F26E43" w:rsidR="00AB6342" w:rsidRDefault="00BC24D6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</w:t>
            </w:r>
            <w:proofErr w:type="spellEnd"/>
            <w:r>
              <w:rPr>
                <w:rFonts w:cstheme="minorHAnsi"/>
              </w:rPr>
              <w:t>. Dr. Selva STAUB</w:t>
            </w:r>
          </w:p>
        </w:tc>
        <w:tc>
          <w:tcPr>
            <w:tcW w:w="3685" w:type="dxa"/>
          </w:tcPr>
          <w:p w14:paraId="655DBA03" w14:textId="77777777" w:rsidR="00AB6342" w:rsidRDefault="00AB6342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Koordinatör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</w:p>
        </w:tc>
        <w:tc>
          <w:tcPr>
            <w:tcW w:w="2498" w:type="dxa"/>
          </w:tcPr>
          <w:p w14:paraId="57B5ECDD" w14:textId="77777777" w:rsidR="00AB6342" w:rsidRDefault="00AB6342" w:rsidP="00466CC8">
            <w:pPr>
              <w:rPr>
                <w:rFonts w:cstheme="minorHAnsi"/>
              </w:rPr>
            </w:pPr>
          </w:p>
        </w:tc>
      </w:tr>
      <w:tr w:rsidR="00AB6342" w14:paraId="1CC925FB" w14:textId="77777777" w:rsidTr="00466CC8">
        <w:trPr>
          <w:trHeight w:val="489"/>
        </w:trPr>
        <w:tc>
          <w:tcPr>
            <w:tcW w:w="3823" w:type="dxa"/>
          </w:tcPr>
          <w:p w14:paraId="11F13B68" w14:textId="6A203262" w:rsidR="00AB6342" w:rsidRDefault="00BC24D6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</w:t>
            </w:r>
            <w:proofErr w:type="spellEnd"/>
            <w:r>
              <w:rPr>
                <w:rFonts w:cstheme="minorHAnsi"/>
              </w:rPr>
              <w:t>. Dr. Ebru KAYA MUTLU</w:t>
            </w:r>
          </w:p>
        </w:tc>
        <w:tc>
          <w:tcPr>
            <w:tcW w:w="3685" w:type="dxa"/>
          </w:tcPr>
          <w:p w14:paraId="6E80CC09" w14:textId="77777777" w:rsidR="00AB6342" w:rsidRDefault="00AB6342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Koordinatör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</w:p>
        </w:tc>
        <w:tc>
          <w:tcPr>
            <w:tcW w:w="2498" w:type="dxa"/>
          </w:tcPr>
          <w:p w14:paraId="5E206B81" w14:textId="77777777" w:rsidR="00AB6342" w:rsidRDefault="00AB6342" w:rsidP="00466CC8">
            <w:pPr>
              <w:rPr>
                <w:rFonts w:cstheme="minorHAnsi"/>
              </w:rPr>
            </w:pPr>
          </w:p>
        </w:tc>
      </w:tr>
      <w:tr w:rsidR="00AB6342" w14:paraId="590F5E13" w14:textId="77777777" w:rsidTr="00466CC8">
        <w:trPr>
          <w:trHeight w:val="489"/>
        </w:trPr>
        <w:tc>
          <w:tcPr>
            <w:tcW w:w="3823" w:type="dxa"/>
          </w:tcPr>
          <w:p w14:paraId="6BC2DA29" w14:textId="1F06C830" w:rsidR="00AB6342" w:rsidRDefault="00BC24D6" w:rsidP="00466CC8">
            <w:pPr>
              <w:rPr>
                <w:rFonts w:cstheme="minorHAnsi"/>
              </w:rPr>
            </w:pPr>
            <w:r>
              <w:rPr>
                <w:rFonts w:cstheme="minorHAnsi"/>
              </w:rPr>
              <w:t>Dr.</w:t>
            </w:r>
            <w:r w:rsidR="006A234A">
              <w:rPr>
                <w:rFonts w:cstheme="minorHAnsi"/>
              </w:rPr>
              <w:t xml:space="preserve"> Öğr. </w:t>
            </w:r>
            <w:proofErr w:type="spellStart"/>
            <w:r w:rsidR="006A234A">
              <w:rPr>
                <w:rFonts w:cstheme="minorHAnsi"/>
              </w:rPr>
              <w:t>Üyesi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Fahrettin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Burak</w:t>
            </w:r>
            <w:proofErr w:type="spellEnd"/>
            <w:r>
              <w:rPr>
                <w:rFonts w:cstheme="minorHAnsi"/>
              </w:rPr>
              <w:t xml:space="preserve"> DEMİR</w:t>
            </w:r>
          </w:p>
        </w:tc>
        <w:tc>
          <w:tcPr>
            <w:tcW w:w="3685" w:type="dxa"/>
          </w:tcPr>
          <w:p w14:paraId="2D3837C7" w14:textId="77777777" w:rsidR="00AB6342" w:rsidRDefault="00AB6342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Koordinatör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</w:p>
        </w:tc>
        <w:tc>
          <w:tcPr>
            <w:tcW w:w="2498" w:type="dxa"/>
          </w:tcPr>
          <w:p w14:paraId="60C0A1E3" w14:textId="77777777" w:rsidR="00AB6342" w:rsidRDefault="00AB6342" w:rsidP="00466CC8">
            <w:pPr>
              <w:rPr>
                <w:rFonts w:cstheme="minorHAnsi"/>
              </w:rPr>
            </w:pPr>
          </w:p>
        </w:tc>
      </w:tr>
      <w:tr w:rsidR="00AB6342" w14:paraId="59995C07" w14:textId="77777777" w:rsidTr="00466CC8">
        <w:trPr>
          <w:trHeight w:val="489"/>
        </w:trPr>
        <w:tc>
          <w:tcPr>
            <w:tcW w:w="3823" w:type="dxa"/>
          </w:tcPr>
          <w:p w14:paraId="3D98EC39" w14:textId="4A5824AC" w:rsidR="00AB6342" w:rsidRDefault="00BC24D6" w:rsidP="00466CC8">
            <w:pPr>
              <w:rPr>
                <w:rFonts w:cstheme="minorHAnsi"/>
              </w:rPr>
            </w:pPr>
            <w:r>
              <w:rPr>
                <w:rFonts w:cstheme="minorHAnsi"/>
              </w:rPr>
              <w:t>Öğr</w:t>
            </w:r>
            <w:r w:rsidR="006A234A">
              <w:rPr>
                <w:rFonts w:cstheme="minorHAnsi"/>
              </w:rPr>
              <w:t xml:space="preserve">. </w:t>
            </w:r>
            <w:proofErr w:type="spellStart"/>
            <w:r w:rsidR="006A234A">
              <w:rPr>
                <w:rFonts w:cstheme="minorHAnsi"/>
              </w:rPr>
              <w:t>Gör</w:t>
            </w:r>
            <w:proofErr w:type="spellEnd"/>
            <w:r w:rsidR="006A234A"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Emrullah</w:t>
            </w:r>
            <w:proofErr w:type="spellEnd"/>
            <w:r>
              <w:rPr>
                <w:rFonts w:cstheme="minorHAnsi"/>
              </w:rPr>
              <w:t xml:space="preserve"> TEKİN</w:t>
            </w:r>
          </w:p>
        </w:tc>
        <w:tc>
          <w:tcPr>
            <w:tcW w:w="3685" w:type="dxa"/>
          </w:tcPr>
          <w:p w14:paraId="2EAB2112" w14:textId="3032E59E" w:rsidR="00AB6342" w:rsidRDefault="00BC24D6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Koordinatör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</w:p>
        </w:tc>
        <w:tc>
          <w:tcPr>
            <w:tcW w:w="2498" w:type="dxa"/>
          </w:tcPr>
          <w:p w14:paraId="76208B9F" w14:textId="77777777" w:rsidR="00AB6342" w:rsidRDefault="00AB6342" w:rsidP="00466CC8">
            <w:pPr>
              <w:rPr>
                <w:rFonts w:cstheme="minorHAnsi"/>
              </w:rPr>
            </w:pPr>
          </w:p>
        </w:tc>
      </w:tr>
      <w:tr w:rsidR="00AB6342" w14:paraId="1B4DF6BE" w14:textId="77777777" w:rsidTr="00466CC8">
        <w:trPr>
          <w:trHeight w:val="511"/>
        </w:trPr>
        <w:tc>
          <w:tcPr>
            <w:tcW w:w="3823" w:type="dxa"/>
          </w:tcPr>
          <w:p w14:paraId="6B6C6FC0" w14:textId="16C03879" w:rsidR="00AB6342" w:rsidRDefault="00BC24D6" w:rsidP="00466CC8">
            <w:pPr>
              <w:rPr>
                <w:rFonts w:cstheme="minorHAnsi"/>
              </w:rPr>
            </w:pPr>
            <w:r>
              <w:rPr>
                <w:rFonts w:cstheme="minorHAnsi"/>
              </w:rPr>
              <w:t>Öğr</w:t>
            </w:r>
            <w:r w:rsidR="006A234A">
              <w:rPr>
                <w:rFonts w:cstheme="minorHAnsi"/>
              </w:rPr>
              <w:t xml:space="preserve">. </w:t>
            </w:r>
            <w:proofErr w:type="spellStart"/>
            <w:r w:rsidR="006A234A">
              <w:rPr>
                <w:rFonts w:cstheme="minorHAnsi"/>
              </w:rPr>
              <w:t>Gör</w:t>
            </w:r>
            <w:proofErr w:type="spellEnd"/>
            <w:r w:rsidR="006A234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İsmail ARI</w:t>
            </w:r>
          </w:p>
        </w:tc>
        <w:tc>
          <w:tcPr>
            <w:tcW w:w="3685" w:type="dxa"/>
          </w:tcPr>
          <w:p w14:paraId="3A081894" w14:textId="2B9FA43C" w:rsidR="00AB6342" w:rsidRDefault="00BC24D6" w:rsidP="00466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Kalite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Koordinatör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Yardımcısı</w:t>
            </w:r>
            <w:proofErr w:type="spellEnd"/>
          </w:p>
        </w:tc>
        <w:tc>
          <w:tcPr>
            <w:tcW w:w="2498" w:type="dxa"/>
          </w:tcPr>
          <w:p w14:paraId="63A3BB1B" w14:textId="77777777" w:rsidR="00AB6342" w:rsidRDefault="00AB6342" w:rsidP="00466CC8">
            <w:pPr>
              <w:rPr>
                <w:rFonts w:cstheme="minorHAnsi"/>
              </w:rPr>
            </w:pPr>
          </w:p>
        </w:tc>
      </w:tr>
    </w:tbl>
    <w:p w14:paraId="18FF9B23" w14:textId="77777777" w:rsidR="00AB6342" w:rsidRPr="00414D2F" w:rsidRDefault="00AB6342" w:rsidP="00AB6342">
      <w:pPr>
        <w:rPr>
          <w:rFonts w:cstheme="minorHAnsi"/>
        </w:rPr>
      </w:pPr>
    </w:p>
    <w:p w14:paraId="1DCA61D6" w14:textId="77777777" w:rsidR="00594D2D" w:rsidRDefault="00594D2D"/>
    <w:sectPr w:rsidR="00594D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9533" w14:textId="77777777" w:rsidR="005E10E7" w:rsidRDefault="005E10E7" w:rsidP="00AB6342">
      <w:pPr>
        <w:spacing w:after="0" w:line="240" w:lineRule="auto"/>
      </w:pPr>
      <w:r>
        <w:separator/>
      </w:r>
    </w:p>
  </w:endnote>
  <w:endnote w:type="continuationSeparator" w:id="0">
    <w:p w14:paraId="06FEADFC" w14:textId="77777777" w:rsidR="005E10E7" w:rsidRDefault="005E10E7" w:rsidP="00AB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AB6342" w:rsidRPr="008A4DA7" w14:paraId="62734333" w14:textId="77777777" w:rsidTr="00466CC8">
      <w:trPr>
        <w:trHeight w:val="233"/>
      </w:trPr>
      <w:tc>
        <w:tcPr>
          <w:tcW w:w="2830" w:type="dxa"/>
        </w:tcPr>
        <w:p w14:paraId="4D06BEA5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16CC9836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  <w:r w:rsidRPr="008A4DA7">
            <w:rPr>
              <w:rFonts w:eastAsia="Times New Roman" w:cstheme="minorHAnsi"/>
              <w:bCs/>
              <w:lang w:val="en-AU" w:eastAsia="tr-TR"/>
            </w:rPr>
            <w:t>(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Kontrol</w:t>
          </w:r>
          <w:proofErr w:type="spellEnd"/>
          <w:r w:rsidRPr="008A4DA7">
            <w:rPr>
              <w:rFonts w:eastAsia="Times New Roman" w:cstheme="minorHAnsi"/>
              <w:bCs/>
              <w:lang w:val="en-AU" w:eastAsia="tr-TR"/>
            </w:rPr>
            <w:t xml:space="preserve"> Eden) 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Kalite</w:t>
          </w:r>
          <w:proofErr w:type="spellEnd"/>
          <w:r w:rsidRPr="008A4DA7">
            <w:rPr>
              <w:rFonts w:eastAsia="Times New Roman" w:cstheme="minorHAnsi"/>
              <w:bCs/>
              <w:lang w:val="en-AU" w:eastAsia="tr-TR"/>
            </w:rPr>
            <w:t xml:space="preserve"> 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41F8020B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  <w:r w:rsidRPr="008A4DA7">
            <w:rPr>
              <w:rFonts w:eastAsia="Times New Roman" w:cstheme="minorHAnsi"/>
              <w:bCs/>
              <w:lang w:val="en-AU" w:eastAsia="tr-TR"/>
            </w:rPr>
            <w:t>(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Onaylayan</w:t>
          </w:r>
          <w:proofErr w:type="spellEnd"/>
          <w:r w:rsidRPr="008A4DA7">
            <w:rPr>
              <w:rFonts w:eastAsia="Times New Roman" w:cstheme="minorHAnsi"/>
              <w:bCs/>
              <w:lang w:val="en-AU" w:eastAsia="tr-TR"/>
            </w:rPr>
            <w:t xml:space="preserve">) 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Rektör</w:t>
          </w:r>
          <w:proofErr w:type="spellEnd"/>
        </w:p>
      </w:tc>
    </w:tr>
    <w:tr w:rsidR="00AB6342" w:rsidRPr="008A4DA7" w14:paraId="1BFA01DC" w14:textId="77777777" w:rsidTr="00466CC8">
      <w:trPr>
        <w:trHeight w:val="232"/>
      </w:trPr>
      <w:tc>
        <w:tcPr>
          <w:tcW w:w="2830" w:type="dxa"/>
        </w:tcPr>
        <w:p w14:paraId="7AE5E83F" w14:textId="77777777" w:rsidR="00AB6342" w:rsidRPr="008A4DA7" w:rsidRDefault="00AB6342" w:rsidP="00AB6342">
          <w:pPr>
            <w:spacing w:after="0" w:line="240" w:lineRule="auto"/>
            <w:rPr>
              <w:rFonts w:eastAsia="Times New Roman" w:cstheme="minorHAnsi"/>
              <w:bCs/>
              <w:lang w:val="en-AU" w:eastAsia="tr-TR"/>
            </w:rPr>
          </w:pPr>
        </w:p>
      </w:tc>
      <w:tc>
        <w:tcPr>
          <w:tcW w:w="3544" w:type="dxa"/>
        </w:tcPr>
        <w:p w14:paraId="610BA83A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  <w:r w:rsidRPr="008A4DA7">
            <w:rPr>
              <w:rFonts w:eastAsia="Times New Roman" w:cstheme="minorHAnsi"/>
              <w:bCs/>
              <w:lang w:val="en-AU" w:eastAsia="tr-TR"/>
            </w:rPr>
            <w:t xml:space="preserve">Prof. Dr. 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Celale</w:t>
          </w:r>
          <w:r>
            <w:rPr>
              <w:rFonts w:eastAsia="Times New Roman" w:cstheme="minorHAnsi"/>
              <w:bCs/>
              <w:lang w:val="en-AU" w:eastAsia="tr-TR"/>
            </w:rPr>
            <w:t>tt</w:t>
          </w:r>
          <w:r w:rsidRPr="008A4DA7">
            <w:rPr>
              <w:rFonts w:eastAsia="Times New Roman" w:cstheme="minorHAnsi"/>
              <w:bCs/>
              <w:lang w:val="en-AU" w:eastAsia="tr-TR"/>
            </w:rPr>
            <w:t>in</w:t>
          </w:r>
          <w:proofErr w:type="spellEnd"/>
          <w:r w:rsidRPr="008A4DA7">
            <w:rPr>
              <w:rFonts w:eastAsia="Times New Roman" w:cstheme="minorHAnsi"/>
              <w:bCs/>
              <w:lang w:val="en-AU" w:eastAsia="tr-TR"/>
            </w:rPr>
            <w:t xml:space="preserve"> YANIK</w:t>
          </w:r>
        </w:p>
        <w:p w14:paraId="1741B647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</w:p>
        <w:p w14:paraId="4EFA8946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</w:p>
      </w:tc>
      <w:tc>
        <w:tcPr>
          <w:tcW w:w="3681" w:type="dxa"/>
        </w:tcPr>
        <w:p w14:paraId="7C712734" w14:textId="77777777" w:rsidR="00AB6342" w:rsidRPr="008A4DA7" w:rsidRDefault="00AB6342" w:rsidP="00AB6342">
          <w:pPr>
            <w:spacing w:after="0" w:line="240" w:lineRule="auto"/>
            <w:jc w:val="center"/>
            <w:rPr>
              <w:rFonts w:eastAsia="Times New Roman" w:cstheme="minorHAnsi"/>
              <w:bCs/>
              <w:lang w:val="en-AU" w:eastAsia="tr-TR"/>
            </w:rPr>
          </w:pPr>
          <w:r w:rsidRPr="008A4DA7">
            <w:rPr>
              <w:rFonts w:eastAsia="Times New Roman" w:cstheme="minorHAnsi"/>
              <w:bCs/>
              <w:lang w:val="en-AU" w:eastAsia="tr-TR"/>
            </w:rPr>
            <w:t xml:space="preserve">Prof. Dr. </w:t>
          </w:r>
          <w:proofErr w:type="spellStart"/>
          <w:r w:rsidRPr="008A4DA7">
            <w:rPr>
              <w:rFonts w:eastAsia="Times New Roman" w:cstheme="minorHAnsi"/>
              <w:bCs/>
              <w:lang w:val="en-AU" w:eastAsia="tr-TR"/>
            </w:rPr>
            <w:t>Süleyman</w:t>
          </w:r>
          <w:proofErr w:type="spellEnd"/>
          <w:r w:rsidRPr="008A4DA7">
            <w:rPr>
              <w:rFonts w:eastAsia="Times New Roman" w:cstheme="minorHAnsi"/>
              <w:bCs/>
              <w:lang w:val="en-AU" w:eastAsia="tr-TR"/>
            </w:rPr>
            <w:t xml:space="preserve"> ÖZDEMİR</w:t>
          </w:r>
        </w:p>
      </w:tc>
    </w:tr>
  </w:tbl>
  <w:p w14:paraId="61261416" w14:textId="77777777" w:rsidR="00AB6342" w:rsidRPr="008A4DA7" w:rsidRDefault="00AB6342" w:rsidP="00AB6342">
    <w:pPr>
      <w:ind w:right="-851"/>
      <w:jc w:val="right"/>
      <w:rPr>
        <w:rFonts w:cstheme="minorHAnsi"/>
      </w:rPr>
    </w:pPr>
    <w:r w:rsidRPr="008A4DA7">
      <w:rPr>
        <w:rFonts w:cstheme="minorHAnsi"/>
      </w:rPr>
      <w:t>DEF.F.001/01.01.2023/00/-</w:t>
    </w:r>
  </w:p>
  <w:p w14:paraId="40682C1A" w14:textId="77777777" w:rsidR="00AB6342" w:rsidRDefault="00AB6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A333" w14:textId="77777777" w:rsidR="005E10E7" w:rsidRDefault="005E10E7" w:rsidP="00AB6342">
      <w:pPr>
        <w:spacing w:after="0" w:line="240" w:lineRule="auto"/>
      </w:pPr>
      <w:r>
        <w:separator/>
      </w:r>
    </w:p>
  </w:footnote>
  <w:footnote w:type="continuationSeparator" w:id="0">
    <w:p w14:paraId="120053D1" w14:textId="77777777" w:rsidR="005E10E7" w:rsidRDefault="005E10E7" w:rsidP="00AB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AB6342" w:rsidRPr="008A4DA7" w14:paraId="6B88D75C" w14:textId="77777777" w:rsidTr="00466CC8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74D56519" w14:textId="77777777" w:rsidR="00AB6342" w:rsidRPr="008A4DA7" w:rsidRDefault="00AB6342" w:rsidP="00AB6342">
          <w:pPr>
            <w:jc w:val="center"/>
            <w:rPr>
              <w:rFonts w:ascii="Calibri" w:hAnsi="Calibri" w:cs="Calibri"/>
              <w:b/>
            </w:rPr>
          </w:pPr>
          <w:r w:rsidRPr="008A4DA7">
            <w:rPr>
              <w:rFonts w:ascii="Calibri" w:hAnsi="Calibri" w:cs="Calibri"/>
              <w:b/>
            </w:rPr>
            <w:br/>
          </w:r>
          <w:r w:rsidRPr="008A4DA7">
            <w:rPr>
              <w:rFonts w:ascii="Calibri" w:hAnsi="Calibri" w:cs="Calibri"/>
              <w:b/>
              <w:noProof/>
              <w:lang w:eastAsia="tr-TR"/>
            </w:rPr>
            <w:drawing>
              <wp:inline distT="0" distB="0" distL="0" distR="0" wp14:anchorId="27100BC3" wp14:editId="2D9FEC5E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3994756B" w14:textId="77777777" w:rsidR="00AB6342" w:rsidRDefault="00AB6342" w:rsidP="00AB6342">
          <w:pPr>
            <w:spacing w:line="240" w:lineRule="auto"/>
            <w:jc w:val="center"/>
            <w:rPr>
              <w:rFonts w:cstheme="minorHAnsi"/>
              <w:b/>
              <w:bCs/>
            </w:rPr>
          </w:pPr>
          <w:r w:rsidRPr="008A4DA7">
            <w:rPr>
              <w:rFonts w:cstheme="minorHAnsi"/>
              <w:b/>
              <w:bCs/>
            </w:rPr>
            <w:t>BANDIRMA ONYEDİ EYLÜL ÜNİVERSİTESİ</w:t>
          </w:r>
          <w:r>
            <w:rPr>
              <w:rFonts w:cstheme="minorHAnsi"/>
              <w:b/>
              <w:bCs/>
            </w:rPr>
            <w:t xml:space="preserve"> </w:t>
          </w:r>
        </w:p>
        <w:p w14:paraId="0F695960" w14:textId="77777777" w:rsidR="00AB6342" w:rsidRPr="008A4DA7" w:rsidRDefault="00AB6342" w:rsidP="00AB6342">
          <w:pPr>
            <w:spacing w:line="240" w:lineRule="auto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KALİTE KOORDİNATÖRLÜĞÜ</w:t>
          </w:r>
        </w:p>
        <w:p w14:paraId="579660A3" w14:textId="77777777" w:rsidR="00AB6342" w:rsidRPr="008A4DA7" w:rsidRDefault="00AB6342" w:rsidP="00AB6342">
          <w:pPr>
            <w:spacing w:line="240" w:lineRule="auto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TOPLANTI TUTANAĞI</w:t>
          </w:r>
        </w:p>
      </w:tc>
      <w:tc>
        <w:tcPr>
          <w:tcW w:w="1842" w:type="dxa"/>
          <w:shd w:val="clear" w:color="auto" w:fill="auto"/>
          <w:vAlign w:val="center"/>
        </w:tcPr>
        <w:p w14:paraId="3F061FDC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proofErr w:type="spellStart"/>
          <w:r w:rsidRPr="008A4DA7">
            <w:rPr>
              <w:rFonts w:cstheme="minorHAnsi"/>
              <w:bCs/>
              <w:szCs w:val="20"/>
            </w:rPr>
            <w:t>Doküman</w:t>
          </w:r>
          <w:proofErr w:type="spellEnd"/>
          <w:r w:rsidRPr="008A4DA7">
            <w:rPr>
              <w:rFonts w:cstheme="minorHAnsi"/>
              <w:bCs/>
              <w:szCs w:val="20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6901222C" w14:textId="77777777" w:rsidR="00AB6342" w:rsidRPr="008A4DA7" w:rsidRDefault="00AB6342" w:rsidP="00AB6342">
          <w:pPr>
            <w:tabs>
              <w:tab w:val="left" w:pos="1182"/>
            </w:tabs>
            <w:rPr>
              <w:rFonts w:cstheme="minorHAnsi"/>
              <w:bCs/>
              <w:szCs w:val="20"/>
            </w:rPr>
          </w:pPr>
          <w:r>
            <w:rPr>
              <w:rFonts w:cstheme="minorHAnsi"/>
              <w:bCs/>
              <w:szCs w:val="20"/>
            </w:rPr>
            <w:t>FR</w:t>
          </w:r>
          <w:r w:rsidRPr="008A4DA7">
            <w:rPr>
              <w:rFonts w:cstheme="minorHAnsi"/>
              <w:bCs/>
              <w:szCs w:val="20"/>
            </w:rPr>
            <w:t>-001</w:t>
          </w:r>
        </w:p>
      </w:tc>
    </w:tr>
    <w:tr w:rsidR="00AB6342" w:rsidRPr="008A4DA7" w14:paraId="78E444D3" w14:textId="77777777" w:rsidTr="00466CC8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BBADB68" w14:textId="77777777" w:rsidR="00AB6342" w:rsidRPr="008A4DA7" w:rsidRDefault="00AB6342" w:rsidP="00AB6342">
          <w:pPr>
            <w:rPr>
              <w:rFonts w:ascii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A800FB4" w14:textId="77777777" w:rsidR="00AB6342" w:rsidRPr="008A4DA7" w:rsidRDefault="00AB6342" w:rsidP="00AB6342">
          <w:pPr>
            <w:rPr>
              <w:rFonts w:ascii="Calibri" w:hAnsi="Calibri" w:cs="Calibri"/>
              <w:bCs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E74E06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r w:rsidRPr="008A4DA7">
            <w:rPr>
              <w:rFonts w:cstheme="minorHAnsi"/>
              <w:bCs/>
              <w:szCs w:val="20"/>
            </w:rPr>
            <w:t xml:space="preserve">İlk </w:t>
          </w:r>
          <w:proofErr w:type="spellStart"/>
          <w:r w:rsidRPr="008A4DA7">
            <w:rPr>
              <w:rFonts w:cstheme="minorHAnsi"/>
              <w:bCs/>
              <w:szCs w:val="20"/>
            </w:rPr>
            <w:t>yayın</w:t>
          </w:r>
          <w:proofErr w:type="spellEnd"/>
          <w:r w:rsidRPr="008A4DA7">
            <w:rPr>
              <w:rFonts w:cstheme="minorHAnsi"/>
              <w:bCs/>
              <w:szCs w:val="20"/>
            </w:rPr>
            <w:t xml:space="preserve"> </w:t>
          </w:r>
          <w:proofErr w:type="spellStart"/>
          <w:r w:rsidRPr="008A4DA7">
            <w:rPr>
              <w:rFonts w:cstheme="minorHAnsi"/>
              <w:bCs/>
              <w:szCs w:val="20"/>
            </w:rPr>
            <w:t>tarihi</w:t>
          </w:r>
          <w:proofErr w:type="spellEnd"/>
        </w:p>
      </w:tc>
      <w:tc>
        <w:tcPr>
          <w:tcW w:w="1509" w:type="dxa"/>
          <w:shd w:val="clear" w:color="auto" w:fill="auto"/>
          <w:vAlign w:val="center"/>
        </w:tcPr>
        <w:p w14:paraId="1DA909A8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r>
            <w:rPr>
              <w:rFonts w:cstheme="minorHAnsi"/>
              <w:bCs/>
              <w:szCs w:val="20"/>
            </w:rPr>
            <w:t>3</w:t>
          </w:r>
          <w:r w:rsidRPr="008A4DA7">
            <w:rPr>
              <w:rFonts w:cstheme="minorHAnsi"/>
              <w:bCs/>
              <w:szCs w:val="20"/>
            </w:rPr>
            <w:t>1.01.2023</w:t>
          </w:r>
        </w:p>
      </w:tc>
    </w:tr>
    <w:tr w:rsidR="00AB6342" w:rsidRPr="008A4DA7" w14:paraId="0B736541" w14:textId="77777777" w:rsidTr="00466CC8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683147D7" w14:textId="77777777" w:rsidR="00AB6342" w:rsidRPr="008A4DA7" w:rsidRDefault="00AB6342" w:rsidP="00AB6342">
          <w:pPr>
            <w:rPr>
              <w:rFonts w:ascii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59DE03E" w14:textId="77777777" w:rsidR="00AB6342" w:rsidRPr="008A4DA7" w:rsidRDefault="00AB6342" w:rsidP="00AB6342">
          <w:pPr>
            <w:rPr>
              <w:rFonts w:ascii="Calibri" w:hAnsi="Calibri" w:cs="Calibri"/>
              <w:bCs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54B07BE5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r w:rsidRPr="008A4DA7">
            <w:rPr>
              <w:rFonts w:cstheme="minorHAnsi"/>
              <w:bCs/>
              <w:szCs w:val="20"/>
            </w:rPr>
            <w:t xml:space="preserve">Rev. No / </w:t>
          </w:r>
          <w:proofErr w:type="spellStart"/>
          <w:r w:rsidRPr="008A4DA7">
            <w:rPr>
              <w:rFonts w:cstheme="minorHAnsi"/>
              <w:bCs/>
              <w:szCs w:val="20"/>
            </w:rPr>
            <w:t>Tarih</w:t>
          </w:r>
          <w:proofErr w:type="spellEnd"/>
        </w:p>
      </w:tc>
      <w:tc>
        <w:tcPr>
          <w:tcW w:w="1509" w:type="dxa"/>
          <w:shd w:val="clear" w:color="auto" w:fill="auto"/>
          <w:vAlign w:val="center"/>
        </w:tcPr>
        <w:p w14:paraId="118DE413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r>
            <w:rPr>
              <w:rFonts w:cstheme="minorHAnsi"/>
              <w:bCs/>
              <w:szCs w:val="20"/>
            </w:rPr>
            <w:t>-</w:t>
          </w:r>
        </w:p>
      </w:tc>
    </w:tr>
    <w:tr w:rsidR="00AB6342" w:rsidRPr="008A4DA7" w14:paraId="36D867BA" w14:textId="77777777" w:rsidTr="00466CC8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65001281" w14:textId="77777777" w:rsidR="00AB6342" w:rsidRPr="008A4DA7" w:rsidRDefault="00AB6342" w:rsidP="00AB6342">
          <w:pPr>
            <w:rPr>
              <w:rFonts w:ascii="Calibri" w:hAnsi="Calibri" w:cs="Calibri"/>
              <w:b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ED2B8ED" w14:textId="77777777" w:rsidR="00AB6342" w:rsidRPr="008A4DA7" w:rsidRDefault="00AB6342" w:rsidP="00AB6342">
          <w:pPr>
            <w:rPr>
              <w:rFonts w:ascii="Calibri" w:hAnsi="Calibri" w:cs="Calibri"/>
              <w:bCs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50D42AE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proofErr w:type="spellStart"/>
          <w:r w:rsidRPr="008A4DA7">
            <w:rPr>
              <w:rFonts w:cstheme="minorHAnsi"/>
              <w:bCs/>
              <w:szCs w:val="20"/>
            </w:rPr>
            <w:t>Sayfa</w:t>
          </w:r>
          <w:proofErr w:type="spellEnd"/>
          <w:r w:rsidRPr="008A4DA7">
            <w:rPr>
              <w:rFonts w:cstheme="minorHAnsi"/>
              <w:bCs/>
              <w:szCs w:val="20"/>
            </w:rPr>
            <w:t xml:space="preserve"> </w:t>
          </w:r>
          <w:proofErr w:type="spellStart"/>
          <w:r w:rsidRPr="008A4DA7">
            <w:rPr>
              <w:rFonts w:cstheme="minorHAnsi"/>
              <w:bCs/>
              <w:szCs w:val="20"/>
            </w:rPr>
            <w:t>sayısı</w:t>
          </w:r>
          <w:proofErr w:type="spellEnd"/>
        </w:p>
      </w:tc>
      <w:tc>
        <w:tcPr>
          <w:tcW w:w="1509" w:type="dxa"/>
          <w:shd w:val="clear" w:color="auto" w:fill="auto"/>
          <w:vAlign w:val="center"/>
        </w:tcPr>
        <w:p w14:paraId="68C3B3DF" w14:textId="77777777" w:rsidR="00AB6342" w:rsidRPr="008A4DA7" w:rsidRDefault="00AB6342" w:rsidP="00AB6342">
          <w:pPr>
            <w:rPr>
              <w:rFonts w:cstheme="minorHAnsi"/>
              <w:bCs/>
              <w:szCs w:val="20"/>
            </w:rPr>
          </w:pPr>
          <w:r w:rsidRPr="008A4DA7">
            <w:rPr>
              <w:rStyle w:val="SayfaNumaras"/>
              <w:rFonts w:cstheme="minorHAnsi"/>
              <w:bCs/>
              <w:szCs w:val="20"/>
            </w:rPr>
            <w:fldChar w:fldCharType="begin"/>
          </w:r>
          <w:r w:rsidRPr="008A4DA7">
            <w:rPr>
              <w:rStyle w:val="SayfaNumaras"/>
              <w:rFonts w:cstheme="minorHAnsi"/>
              <w:bCs/>
              <w:szCs w:val="20"/>
            </w:rPr>
            <w:instrText xml:space="preserve"> PAGE </w:instrText>
          </w:r>
          <w:r w:rsidRPr="008A4DA7">
            <w:rPr>
              <w:rStyle w:val="SayfaNumaras"/>
              <w:rFonts w:cstheme="minorHAnsi"/>
              <w:bCs/>
              <w:szCs w:val="20"/>
            </w:rPr>
            <w:fldChar w:fldCharType="separate"/>
          </w:r>
          <w:r w:rsidRPr="008A4DA7">
            <w:rPr>
              <w:rStyle w:val="SayfaNumaras"/>
              <w:rFonts w:cstheme="minorHAnsi"/>
              <w:bCs/>
              <w:noProof/>
              <w:szCs w:val="20"/>
            </w:rPr>
            <w:t>1</w:t>
          </w:r>
          <w:r w:rsidRPr="008A4DA7">
            <w:rPr>
              <w:rStyle w:val="SayfaNumaras"/>
              <w:rFonts w:cstheme="minorHAnsi"/>
              <w:bCs/>
              <w:szCs w:val="20"/>
            </w:rPr>
            <w:fldChar w:fldCharType="end"/>
          </w:r>
          <w:r w:rsidRPr="008A4DA7">
            <w:rPr>
              <w:rStyle w:val="SayfaNumaras"/>
              <w:rFonts w:cstheme="minorHAnsi"/>
              <w:bCs/>
              <w:szCs w:val="20"/>
            </w:rPr>
            <w:t>/</w:t>
          </w:r>
          <w:r w:rsidRPr="008A4DA7">
            <w:rPr>
              <w:rStyle w:val="SayfaNumaras"/>
              <w:rFonts w:cstheme="minorHAnsi"/>
              <w:szCs w:val="20"/>
            </w:rPr>
            <w:fldChar w:fldCharType="begin"/>
          </w:r>
          <w:r w:rsidRPr="008A4DA7">
            <w:rPr>
              <w:rStyle w:val="SayfaNumaras"/>
              <w:rFonts w:cstheme="minorHAnsi"/>
              <w:szCs w:val="20"/>
            </w:rPr>
            <w:instrText xml:space="preserve"> NUMPAGES </w:instrText>
          </w:r>
          <w:r w:rsidRPr="008A4DA7">
            <w:rPr>
              <w:rStyle w:val="SayfaNumaras"/>
              <w:rFonts w:cstheme="minorHAnsi"/>
              <w:szCs w:val="20"/>
            </w:rPr>
            <w:fldChar w:fldCharType="separate"/>
          </w:r>
          <w:r w:rsidRPr="008A4DA7">
            <w:rPr>
              <w:rStyle w:val="SayfaNumaras"/>
              <w:rFonts w:cstheme="minorHAnsi"/>
              <w:noProof/>
              <w:szCs w:val="20"/>
            </w:rPr>
            <w:t>1</w:t>
          </w:r>
          <w:r w:rsidRPr="008A4DA7">
            <w:rPr>
              <w:rStyle w:val="SayfaNumaras"/>
              <w:rFonts w:cstheme="minorHAnsi"/>
              <w:szCs w:val="20"/>
            </w:rPr>
            <w:fldChar w:fldCharType="end"/>
          </w:r>
        </w:p>
      </w:tc>
    </w:tr>
  </w:tbl>
  <w:p w14:paraId="2269FB53" w14:textId="77777777" w:rsidR="00AB6342" w:rsidRDefault="00AB63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6F"/>
    <w:rsid w:val="000639AF"/>
    <w:rsid w:val="00174C6F"/>
    <w:rsid w:val="00242D5A"/>
    <w:rsid w:val="00594D2D"/>
    <w:rsid w:val="005D43F5"/>
    <w:rsid w:val="005E10E7"/>
    <w:rsid w:val="006A234A"/>
    <w:rsid w:val="006F348A"/>
    <w:rsid w:val="00AB6342"/>
    <w:rsid w:val="00BC24D6"/>
    <w:rsid w:val="00C7617A"/>
    <w:rsid w:val="00CB79C3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D6"/>
  <w15:chartTrackingRefBased/>
  <w15:docId w15:val="{43559E9B-E636-45A5-AF96-1DB32E3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4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6342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B6342"/>
  </w:style>
  <w:style w:type="paragraph" w:styleId="AltBilgi">
    <w:name w:val="footer"/>
    <w:basedOn w:val="Normal"/>
    <w:link w:val="AltBilgiChar"/>
    <w:uiPriority w:val="99"/>
    <w:unhideWhenUsed/>
    <w:rsid w:val="00AB6342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B6342"/>
  </w:style>
  <w:style w:type="character" w:styleId="SayfaNumaras">
    <w:name w:val="page number"/>
    <w:basedOn w:val="VarsaylanParagrafYazTipi"/>
    <w:rsid w:val="00AB6342"/>
  </w:style>
  <w:style w:type="table" w:styleId="TabloKlavuzu">
    <w:name w:val="Table Grid"/>
    <w:basedOn w:val="NormalTablo"/>
    <w:uiPriority w:val="39"/>
    <w:rsid w:val="00AB63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dc:description/>
  <cp:lastModifiedBy>EMRULLAH TEKİN</cp:lastModifiedBy>
  <cp:revision>2</cp:revision>
  <dcterms:created xsi:type="dcterms:W3CDTF">2023-04-06T09:20:00Z</dcterms:created>
  <dcterms:modified xsi:type="dcterms:W3CDTF">2023-04-06T09:20:00Z</dcterms:modified>
</cp:coreProperties>
</file>